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texto"/>
        <w:shd w:val="clear" w:color="auto" w:fill="FFFFFF"/>
        <w:suppressAutoHyphens w:val="false"/>
        <w:spacing w:lineRule="auto" w:line="360" w:before="0" w:after="0"/>
        <w:jc w:val="center"/>
        <w:rPr>
          <w:rFonts w:ascii="Arial" w:hAnsi="Arial" w:eastAsia="Batang" w:cs="Arial"/>
          <w:b/>
          <w:b/>
          <w:bCs/>
          <w:color w:val="000000"/>
          <w:sz w:val="24"/>
          <w:szCs w:val="24"/>
          <w:lang w:eastAsia="pt-BR"/>
        </w:rPr>
      </w:pPr>
      <w:r>
        <w:rPr>
          <w:rFonts w:eastAsia="Batang" w:cs="Arial" w:ascii="Arial" w:hAnsi="Arial"/>
          <w:b/>
          <w:bCs/>
          <w:color w:val="000000"/>
          <w:sz w:val="24"/>
          <w:szCs w:val="24"/>
          <w:lang w:eastAsia="pt-BR"/>
        </w:rPr>
        <w:t>EDITAL DE CREDENCIAMENTO Nº ____/_____</w:t>
      </w:r>
    </w:p>
    <w:p>
      <w:pPr>
        <w:pStyle w:val="Corpodetexto"/>
        <w:shd w:val="clear" w:color="auto" w:fill="FFFFFF"/>
        <w:suppressAutoHyphens w:val="false"/>
        <w:spacing w:lineRule="auto" w:line="360" w:before="0" w:after="0"/>
        <w:jc w:val="center"/>
        <w:rPr>
          <w:rFonts w:ascii="Arial" w:hAnsi="Arial" w:eastAsia="Batang" w:cs="Arial"/>
          <w:b/>
          <w:b/>
          <w:bCs/>
          <w:color w:val="000000"/>
          <w:sz w:val="24"/>
          <w:szCs w:val="24"/>
          <w:lang w:eastAsia="pt-BR"/>
        </w:rPr>
      </w:pPr>
      <w:r>
        <w:rPr>
          <w:rFonts w:eastAsia="Batang" w:cs="Arial" w:ascii="Arial" w:hAnsi="Arial"/>
          <w:b/>
          <w:bCs/>
          <w:color w:val="000000"/>
          <w:sz w:val="24"/>
          <w:szCs w:val="24"/>
          <w:lang w:eastAsia="pt-BR"/>
        </w:rPr>
      </w:r>
    </w:p>
    <w:p>
      <w:pPr>
        <w:pStyle w:val="Corpodetexto"/>
        <w:shd w:val="clear" w:color="auto" w:fill="FFFFFF"/>
        <w:suppressAutoHyphens w:val="false"/>
        <w:spacing w:lineRule="auto" w:line="360" w:before="0" w:after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eastAsia="Batang" w:cs="Arial" w:ascii="Arial" w:hAnsi="Arial"/>
          <w:b/>
          <w:bCs/>
          <w:color w:val="000000"/>
          <w:sz w:val="24"/>
          <w:szCs w:val="24"/>
          <w:lang w:eastAsia="pt-BR"/>
        </w:rPr>
        <w:t>ANEXO</w:t>
      </w:r>
      <w:r>
        <w:rPr>
          <w:rFonts w:cs="Arial" w:ascii="Arial" w:hAnsi="Arial"/>
          <w:b/>
          <w:bCs/>
          <w:color w:val="000000"/>
          <w:sz w:val="24"/>
          <w:szCs w:val="24"/>
          <w:lang w:eastAsia="pt-BR"/>
        </w:rPr>
        <w:t xml:space="preserve"> “G”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  <w:t>CRITÉRIOS PARA CÁLCULO DO VALOR DOS SERVIÇOS EXECUTADOS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>FINALIDADE</w:t>
      </w:r>
    </w:p>
    <w:p>
      <w:pPr>
        <w:pStyle w:val="Normal"/>
        <w:spacing w:lineRule="auto" w:line="360" w:before="0"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1.1.</w:t>
      </w:r>
      <w:r>
        <w:rPr>
          <w:rFonts w:cs="Arial" w:ascii="Arial" w:hAnsi="Arial"/>
          <w:sz w:val="24"/>
          <w:szCs w:val="24"/>
        </w:rPr>
        <w:t xml:space="preserve"> Demonstrar a forma de cálculo do valor a ser pago pelos serviços de coleta, transporte e distribuição de água potável para os municípios atendidos pelo Programa Emergencial de Distribuição de Água Potável no Semiárido Brasileiro – “Operação Carro Pipa”.</w:t>
      </w:r>
    </w:p>
    <w:p>
      <w:pPr>
        <w:pStyle w:val="Normal"/>
        <w:spacing w:lineRule="auto" w:line="360" w:before="0" w:after="0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>1.2</w:t>
      </w:r>
      <w:r>
        <w:rPr>
          <w:rFonts w:cs="Arial" w:ascii="Arial" w:hAnsi="Arial"/>
          <w:color w:val="000000"/>
          <w:sz w:val="24"/>
          <w:szCs w:val="24"/>
        </w:rPr>
        <w:t>.</w:t>
      </w:r>
      <w:r>
        <w:rPr>
          <w:rFonts w:cs="Arial" w:ascii="Arial" w:hAnsi="Arial"/>
          <w:b/>
          <w:color w:val="000000"/>
          <w:sz w:val="24"/>
          <w:szCs w:val="24"/>
        </w:rPr>
        <w:t xml:space="preserve"> </w:t>
      </w:r>
      <w:r>
        <w:rPr>
          <w:rFonts w:cs="Arial" w:ascii="Arial" w:hAnsi="Arial"/>
          <w:color w:val="000000"/>
          <w:sz w:val="24"/>
          <w:szCs w:val="24"/>
        </w:rPr>
        <w:t>Apresentar subsídios para a obtenção da melhor relação custo-benefício dos recursos empregados nas atividades de distribuição de água.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</w:rPr>
        <w:t>CRITÉRIOS PARA AVALIAÇÃO DE PREÇOS PELO CONTRATANTE</w:t>
      </w:r>
    </w:p>
    <w:p>
      <w:pPr>
        <w:pStyle w:val="Normal"/>
        <w:numPr>
          <w:ilvl w:val="0"/>
          <w:numId w:val="2"/>
        </w:numPr>
        <w:spacing w:lineRule="auto" w:line="360" w:before="0" w:after="0"/>
        <w:ind w:left="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numPr>
          <w:ilvl w:val="0"/>
          <w:numId w:val="2"/>
        </w:numPr>
        <w:spacing w:lineRule="auto" w:line="360" w:before="0" w:after="0"/>
        <w:ind w:left="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  <w:t>Unidade de Medida de Transporte (UMT)</w:t>
      </w:r>
    </w:p>
    <w:p>
      <w:pPr>
        <w:pStyle w:val="Normal"/>
        <w:spacing w:lineRule="auto" w:line="360" w:before="0" w:after="0"/>
        <w:ind w:left="76" w:firstLine="49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>2.1</w:t>
      </w:r>
      <w:r>
        <w:rPr>
          <w:rFonts w:cs="Arial" w:ascii="Arial" w:hAnsi="Arial"/>
          <w:color w:val="000000"/>
          <w:sz w:val="24"/>
          <w:szCs w:val="24"/>
        </w:rPr>
        <w:t>. Considerando que os contratos de carros-pipa feitos pelos Estados e municípios variam bastante na forma de pagamento pelos serviços prestados (aluguel mensal, pagamento por viagem, etc.); e</w:t>
      </w:r>
    </w:p>
    <w:p>
      <w:pPr>
        <w:pStyle w:val="Normal"/>
        <w:spacing w:lineRule="auto" w:line="360" w:before="0" w:after="0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>2.2</w:t>
      </w:r>
      <w:r>
        <w:rPr>
          <w:rFonts w:cs="Arial" w:ascii="Arial" w:hAnsi="Arial"/>
          <w:color w:val="000000"/>
          <w:sz w:val="24"/>
          <w:szCs w:val="24"/>
        </w:rPr>
        <w:t>. considerando o cabimento de se ter um critério único de avaliação de preço e medição dos serviços prestados, a Unidade de Medida de Transporte (</w:t>
      </w:r>
      <w:r>
        <w:rPr>
          <w:rFonts w:cs="Arial" w:ascii="Arial" w:hAnsi="Arial"/>
          <w:b/>
          <w:color w:val="000000"/>
          <w:sz w:val="24"/>
          <w:szCs w:val="24"/>
        </w:rPr>
        <w:t>UMT</w:t>
      </w:r>
      <w:r>
        <w:rPr>
          <w:rFonts w:cs="Arial" w:ascii="Arial" w:hAnsi="Arial"/>
          <w:color w:val="000000"/>
          <w:sz w:val="24"/>
          <w:szCs w:val="24"/>
        </w:rPr>
        <w:t>) a ser utilizada na Operação deverá ser a seguinte: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- Volume Transportado (</w:t>
      </w:r>
      <w:r>
        <w:rPr>
          <w:rFonts w:cs="Arial" w:ascii="Arial" w:hAnsi="Arial"/>
          <w:b/>
          <w:color w:val="000000"/>
          <w:sz w:val="24"/>
          <w:szCs w:val="24"/>
        </w:rPr>
        <w:t>V</w:t>
      </w:r>
      <w:r>
        <w:rPr>
          <w:rFonts w:cs="Arial" w:ascii="Arial" w:hAnsi="Arial"/>
          <w:color w:val="000000"/>
          <w:sz w:val="24"/>
          <w:szCs w:val="24"/>
        </w:rPr>
        <w:t>) x Distância do Manancial ao Ponto de Abastecimento (</w:t>
      </w:r>
      <w:r>
        <w:rPr>
          <w:rFonts w:cs="Arial" w:ascii="Arial" w:hAnsi="Arial"/>
          <w:b/>
          <w:color w:val="000000"/>
          <w:sz w:val="24"/>
          <w:szCs w:val="24"/>
        </w:rPr>
        <w:t>D</w:t>
      </w:r>
      <w:r>
        <w:rPr>
          <w:rFonts w:cs="Arial" w:ascii="Arial" w:hAnsi="Arial"/>
          <w:color w:val="000000"/>
          <w:sz w:val="24"/>
          <w:szCs w:val="24"/>
        </w:rPr>
        <w:t>) x Quantidade de Viagens Realizadas (</w:t>
      </w:r>
      <w:r>
        <w:rPr>
          <w:rFonts w:cs="Arial" w:ascii="Arial" w:hAnsi="Arial"/>
          <w:b/>
          <w:color w:val="000000"/>
          <w:sz w:val="24"/>
          <w:szCs w:val="24"/>
        </w:rPr>
        <w:t>Q</w:t>
      </w:r>
      <w:r>
        <w:rPr>
          <w:rFonts w:cs="Arial" w:ascii="Arial" w:hAnsi="Arial"/>
          <w:color w:val="000000"/>
          <w:sz w:val="24"/>
          <w:szCs w:val="24"/>
        </w:rPr>
        <w:t>) x Índice Multiplicado (</w:t>
      </w:r>
      <w:r>
        <w:rPr>
          <w:rFonts w:cs="Arial" w:ascii="Arial" w:hAnsi="Arial"/>
          <w:b/>
          <w:color w:val="000000"/>
          <w:sz w:val="24"/>
          <w:szCs w:val="24"/>
        </w:rPr>
        <w:t>I</w:t>
      </w:r>
      <w:r>
        <w:rPr>
          <w:rFonts w:cs="Arial" w:ascii="Arial" w:hAnsi="Arial"/>
          <w:color w:val="000000"/>
          <w:sz w:val="24"/>
          <w:szCs w:val="24"/>
        </w:rPr>
        <w:t xml:space="preserve">), ou seja, </w:t>
      </w:r>
      <w:r>
        <w:rPr>
          <w:rFonts w:cs="Arial" w:ascii="Arial" w:hAnsi="Arial"/>
          <w:b/>
          <w:color w:val="000000"/>
          <w:sz w:val="24"/>
          <w:szCs w:val="24"/>
        </w:rPr>
        <w:t xml:space="preserve">UMT=V x D x Q x I, </w:t>
      </w:r>
      <w:r>
        <w:rPr>
          <w:rFonts w:cs="Arial" w:ascii="Arial" w:hAnsi="Arial"/>
          <w:color w:val="000000"/>
          <w:sz w:val="24"/>
          <w:szCs w:val="24"/>
        </w:rPr>
        <w:t xml:space="preserve">cujo produto final fica convencionado denominar-se </w:t>
      </w:r>
      <w:r>
        <w:rPr>
          <w:rFonts w:cs="Arial" w:ascii="Arial" w:hAnsi="Arial"/>
          <w:b/>
          <w:color w:val="000000"/>
          <w:sz w:val="24"/>
          <w:szCs w:val="24"/>
        </w:rPr>
        <w:t>MOMENTO DE TRANSPORTE.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ListParagraph"/>
        <w:numPr>
          <w:ilvl w:val="1"/>
          <w:numId w:val="1"/>
        </w:numPr>
        <w:spacing w:lineRule="auto" w:line="360" w:before="0" w:after="0"/>
        <w:ind w:left="142" w:firstLine="425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 xml:space="preserve">Para se estipular o Índice Multiplicador </w:t>
      </w:r>
      <w:r>
        <w:rPr>
          <w:rFonts w:cs="Arial" w:ascii="Arial" w:hAnsi="Arial"/>
          <w:b/>
          <w:color w:val="000000"/>
          <w:sz w:val="24"/>
          <w:szCs w:val="24"/>
        </w:rPr>
        <w:t>(I)</w:t>
      </w:r>
      <w:r>
        <w:rPr>
          <w:rFonts w:cs="Arial" w:ascii="Arial" w:hAnsi="Arial"/>
          <w:color w:val="000000"/>
          <w:sz w:val="24"/>
          <w:szCs w:val="24"/>
        </w:rPr>
        <w:t xml:space="preserve"> deve-se aplicar a tabela a seguir:</w:t>
      </w:r>
    </w:p>
    <w:tbl>
      <w:tblPr>
        <w:tblW w:w="8445" w:type="dxa"/>
        <w:jc w:val="left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07"/>
        <w:gridCol w:w="4137"/>
      </w:tblGrid>
      <w:tr>
        <w:trPr>
          <w:trHeight w:val="284" w:hRule="atLeast"/>
        </w:trPr>
        <w:tc>
          <w:tcPr>
            <w:tcW w:w="4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TIPO DE RODOVIA</w:t>
            </w:r>
          </w:p>
        </w:tc>
        <w:tc>
          <w:tcPr>
            <w:tcW w:w="4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ÍNDICE MULTIPLICADOR</w:t>
            </w:r>
          </w:p>
        </w:tc>
      </w:tr>
      <w:tr>
        <w:trPr>
          <w:trHeight w:val="284" w:hRule="atLeast"/>
        </w:trPr>
        <w:tc>
          <w:tcPr>
            <w:tcW w:w="4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Estrada 100% sem asfalto (chão)</w:t>
            </w:r>
          </w:p>
        </w:tc>
        <w:tc>
          <w:tcPr>
            <w:tcW w:w="4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</w:rPr>
              <w:t>0,65</w:t>
            </w:r>
          </w:p>
        </w:tc>
      </w:tr>
      <w:tr>
        <w:trPr>
          <w:trHeight w:val="284" w:hRule="atLeast"/>
        </w:trPr>
        <w:tc>
          <w:tcPr>
            <w:tcW w:w="4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Estrada mista (mais chão do que asfalto)</w:t>
            </w:r>
          </w:p>
        </w:tc>
        <w:tc>
          <w:tcPr>
            <w:tcW w:w="4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</w:rPr>
              <w:t>0,60</w:t>
            </w:r>
          </w:p>
        </w:tc>
      </w:tr>
      <w:tr>
        <w:trPr>
          <w:trHeight w:val="284" w:hRule="atLeast"/>
        </w:trPr>
        <w:tc>
          <w:tcPr>
            <w:tcW w:w="4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Estrada mista (mais asfalto do que chão)</w:t>
            </w:r>
          </w:p>
        </w:tc>
        <w:tc>
          <w:tcPr>
            <w:tcW w:w="4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</w:rPr>
              <w:t>0,58</w:t>
            </w:r>
          </w:p>
        </w:tc>
      </w:tr>
      <w:tr>
        <w:trPr>
          <w:trHeight w:val="284" w:hRule="atLeast"/>
        </w:trPr>
        <w:tc>
          <w:tcPr>
            <w:tcW w:w="4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Estrada com 100% de asfalto</w:t>
            </w:r>
          </w:p>
        </w:tc>
        <w:tc>
          <w:tcPr>
            <w:tcW w:w="4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</w:rPr>
              <w:t>0,56</w:t>
            </w:r>
          </w:p>
        </w:tc>
      </w:tr>
      <w:tr>
        <w:trPr>
          <w:trHeight w:val="284" w:hRule="atLeast"/>
        </w:trPr>
        <w:tc>
          <w:tcPr>
            <w:tcW w:w="4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Trechos economicamente inviáveis (situação extraordinária)</w:t>
            </w:r>
          </w:p>
        </w:tc>
        <w:tc>
          <w:tcPr>
            <w:tcW w:w="4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</w:rPr>
              <w:t>0,98</w:t>
            </w:r>
          </w:p>
        </w:tc>
      </w:tr>
      <w:tr>
        <w:trPr>
          <w:trHeight w:val="284" w:hRule="atLeast"/>
        </w:trPr>
        <w:tc>
          <w:tcPr>
            <w:tcW w:w="4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Estrada que exige o uso de trator</w:t>
            </w:r>
          </w:p>
        </w:tc>
        <w:tc>
          <w:tcPr>
            <w:tcW w:w="4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bookmarkStart w:id="0" w:name="_GoBack"/>
            <w:bookmarkEnd w:id="0"/>
            <w:r>
              <w:rPr>
                <w:rFonts w:cs="Arial" w:ascii="Arial" w:hAnsi="Arial"/>
                <w:sz w:val="24"/>
                <w:szCs w:val="24"/>
              </w:rPr>
              <w:t>1,22</w:t>
            </w:r>
          </w:p>
        </w:tc>
      </w:tr>
    </w:tbl>
    <w:p>
      <w:pPr>
        <w:pStyle w:val="Normal"/>
        <w:spacing w:lineRule="auto" w:line="360" w:before="0" w:after="0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ab/>
        <w:t xml:space="preserve">       </w:t>
      </w:r>
    </w:p>
    <w:p>
      <w:pPr>
        <w:pStyle w:val="Normal"/>
        <w:spacing w:lineRule="auto" w:line="360" w:before="0" w:after="0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>2.4. A distância a ser considerada será apenas a percorrida entre o manancial e o ponto de abastecimento, com o carro-pipa carregado.</w:t>
      </w:r>
    </w:p>
    <w:p>
      <w:pPr>
        <w:pStyle w:val="Normal"/>
        <w:spacing w:lineRule="auto" w:line="360" w:before="0" w:after="0"/>
        <w:ind w:lef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hanging="0"/>
        <w:jc w:val="both"/>
        <w:rPr>
          <w:rFonts w:ascii="Arial" w:hAnsi="Arial" w:eastAsia="Times New Roman" w:cs="Arial"/>
          <w:b/>
          <w:b/>
          <w:color w:val="000000"/>
          <w:sz w:val="24"/>
          <w:szCs w:val="24"/>
          <w:lang w:eastAsia="zh-CN"/>
        </w:rPr>
      </w:pPr>
      <w:r>
        <w:rPr>
          <w:rFonts w:eastAsia="Times New Roman" w:cs="Arial" w:ascii="Arial" w:hAnsi="Arial"/>
          <w:b/>
          <w:color w:val="000000"/>
          <w:sz w:val="24"/>
          <w:szCs w:val="24"/>
          <w:lang w:eastAsia="zh-CN"/>
        </w:rPr>
        <w:t>SUBSÍDIOS PARA AVALIAÇÃO DO PREÇO DO TRANSPORTE</w:t>
      </w:r>
    </w:p>
    <w:p>
      <w:pPr>
        <w:pStyle w:val="Normal"/>
        <w:numPr>
          <w:ilvl w:val="0"/>
          <w:numId w:val="0"/>
        </w:numPr>
        <w:spacing w:lineRule="auto" w:line="360" w:before="0" w:after="0"/>
        <w:ind w:left="360" w:hanging="0"/>
        <w:jc w:val="both"/>
        <w:rPr>
          <w:rFonts w:ascii="Arial" w:hAnsi="Arial" w:eastAsia="Times New Roman" w:cs="Arial"/>
          <w:b/>
          <w:b/>
          <w:color w:val="000000"/>
          <w:sz w:val="24"/>
          <w:szCs w:val="24"/>
          <w:lang w:eastAsia="zh-CN"/>
        </w:rPr>
      </w:pPr>
      <w:r>
        <w:rPr>
          <w:rFonts w:eastAsia="Times New Roman" w:cs="Arial" w:ascii="Arial" w:hAnsi="Arial"/>
          <w:b/>
          <w:color w:val="000000"/>
          <w:sz w:val="24"/>
          <w:szCs w:val="24"/>
          <w:lang w:eastAsia="zh-CN"/>
        </w:rPr>
      </w:r>
    </w:p>
    <w:p>
      <w:pPr>
        <w:pStyle w:val="Normal"/>
        <w:spacing w:lineRule="auto" w:line="360" w:before="0"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3.1. </w:t>
      </w:r>
      <w:r>
        <w:rPr>
          <w:rFonts w:cs="Arial" w:ascii="Arial" w:hAnsi="Arial"/>
          <w:sz w:val="24"/>
          <w:szCs w:val="24"/>
        </w:rPr>
        <w:t xml:space="preserve">Deve-se ter em mente que o objetivo da presença do Exército no Programa é de se obter o maior benefício possível às populações assistidas, com os recursos alocados. Para isso, será necessário contratar o transporte pelo </w:t>
      </w:r>
      <w:r>
        <w:rPr>
          <w:rFonts w:cs="Arial" w:ascii="Arial" w:hAnsi="Arial"/>
          <w:b/>
          <w:sz w:val="24"/>
          <w:szCs w:val="24"/>
        </w:rPr>
        <w:t>menor preço possível,</w:t>
      </w:r>
      <w:r>
        <w:rPr>
          <w:rFonts w:cs="Arial" w:ascii="Arial" w:hAnsi="Arial"/>
          <w:sz w:val="24"/>
          <w:szCs w:val="24"/>
        </w:rPr>
        <w:t xml:space="preserve"> estabelecer os itinerários mais curtos, autorizar o transporte de quantidade máxima de água (20 litros / pessoa / dia) e exercer severa fiscalização da execução do seu transporte e da sua distribuição.</w:t>
      </w:r>
    </w:p>
    <w:p>
      <w:pPr>
        <w:pStyle w:val="Normal"/>
        <w:spacing w:lineRule="auto" w:line="360" w:before="0"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eastAsia="Times New Roman" w:cs="Arial" w:ascii="Arial" w:hAnsi="Arial"/>
          <w:b/>
          <w:color w:val="000000"/>
          <w:sz w:val="24"/>
          <w:szCs w:val="24"/>
          <w:lang w:eastAsia="zh-CN"/>
        </w:rPr>
        <w:t xml:space="preserve">3.2. </w:t>
      </w:r>
      <w:r>
        <w:rPr>
          <w:rFonts w:eastAsia="Times New Roman" w:cs="Arial" w:ascii="Arial" w:hAnsi="Arial"/>
          <w:b w:val="false"/>
          <w:bCs w:val="false"/>
          <w:color w:val="000000"/>
          <w:sz w:val="24"/>
          <w:szCs w:val="24"/>
          <w:lang w:eastAsia="zh-CN"/>
        </w:rPr>
        <w:t>Como parâmetro para avaliação do preço proposto pelo transportador, deve-se considerar o índice multiplicador máximo permitido para os diversos tipos de rodovias constantes do quadro supracitado. O reconhecimento será fundamental para a avaliação do preço.</w:t>
      </w:r>
    </w:p>
    <w:p>
      <w:pPr>
        <w:pStyle w:val="Normal"/>
        <w:spacing w:lineRule="auto" w:line="360" w:before="0" w:after="0"/>
        <w:ind w:left="0" w:hanging="0"/>
        <w:jc w:val="both"/>
        <w:rPr>
          <w:rFonts w:ascii="Arial" w:hAnsi="Arial" w:eastAsia="Times New Roman" w:cs="Arial"/>
          <w:b/>
          <w:b/>
          <w:color w:val="000000"/>
          <w:sz w:val="24"/>
          <w:szCs w:val="24"/>
          <w:lang w:eastAsia="zh-CN"/>
        </w:rPr>
      </w:pPr>
      <w:r>
        <w:rPr>
          <w:rFonts w:eastAsia="Times New Roman" w:cs="Arial" w:ascii="Arial" w:hAnsi="Arial"/>
          <w:b/>
          <w:color w:val="000000"/>
          <w:sz w:val="24"/>
          <w:szCs w:val="24"/>
          <w:lang w:eastAsia="zh-CN"/>
        </w:rPr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0" w:hanging="0"/>
        <w:jc w:val="both"/>
        <w:rPr>
          <w:rFonts w:ascii="Arial" w:hAnsi="Arial" w:eastAsia="Times New Roman" w:cs="Arial"/>
          <w:b/>
          <w:b/>
          <w:color w:val="000000"/>
          <w:sz w:val="24"/>
          <w:szCs w:val="24"/>
          <w:lang w:eastAsia="zh-CN"/>
        </w:rPr>
      </w:pPr>
      <w:r>
        <w:rPr>
          <w:rFonts w:eastAsia="Times New Roman" w:cs="Arial" w:ascii="Arial" w:hAnsi="Arial"/>
          <w:b/>
          <w:color w:val="000000"/>
          <w:sz w:val="24"/>
          <w:szCs w:val="24"/>
          <w:lang w:eastAsia="zh-CN"/>
        </w:rPr>
        <w:t>EXEMPLO DE CÁLCULO DO VALOR DOS SERVIÇOS</w:t>
      </w:r>
    </w:p>
    <w:p>
      <w:pPr>
        <w:pStyle w:val="Normal"/>
        <w:numPr>
          <w:ilvl w:val="0"/>
          <w:numId w:val="0"/>
        </w:numPr>
        <w:spacing w:lineRule="auto" w:line="360" w:before="0" w:after="0"/>
        <w:ind w:left="36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51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4.1</w:t>
      </w:r>
      <w:r>
        <w:rPr>
          <w:rFonts w:cs="Arial" w:ascii="Arial" w:hAnsi="Arial"/>
          <w:b/>
          <w:color w:val="0070C0"/>
          <w:sz w:val="24"/>
          <w:szCs w:val="24"/>
        </w:rPr>
        <w:t>.</w:t>
      </w:r>
      <w:r>
        <w:rPr>
          <w:rFonts w:cs="Arial" w:ascii="Arial" w:hAnsi="Arial"/>
          <w:color w:val="0070C0"/>
          <w:sz w:val="24"/>
          <w:szCs w:val="24"/>
        </w:rPr>
        <w:t xml:space="preserve"> </w:t>
      </w:r>
      <w:r>
        <w:rPr>
          <w:rFonts w:cs="Arial" w:ascii="Arial" w:hAnsi="Arial"/>
          <w:color w:val="000000"/>
          <w:sz w:val="24"/>
          <w:szCs w:val="24"/>
        </w:rPr>
        <w:t>O transporte executado por cada carro-pipa deverá ser apontado diariamente em uma planilha;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51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4.2. </w:t>
      </w:r>
      <w:r>
        <w:rPr>
          <w:rFonts w:cs="Arial" w:ascii="Arial" w:hAnsi="Arial"/>
          <w:color w:val="000000"/>
          <w:sz w:val="24"/>
          <w:szCs w:val="24"/>
        </w:rPr>
        <w:t>O serviço será pago mensalmente e será medido pelo Momento de Transporte;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51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4.3</w:t>
      </w:r>
      <w:r>
        <w:rPr>
          <w:rFonts w:cs="Arial" w:ascii="Arial" w:hAnsi="Arial"/>
          <w:sz w:val="24"/>
          <w:szCs w:val="24"/>
        </w:rPr>
        <w:t xml:space="preserve">. </w:t>
      </w:r>
      <w:r>
        <w:rPr>
          <w:rFonts w:cs="Arial" w:ascii="Arial" w:hAnsi="Arial"/>
          <w:color w:val="000000"/>
          <w:sz w:val="24"/>
          <w:szCs w:val="24"/>
        </w:rPr>
        <w:t xml:space="preserve">Assim, por exemplo, um carro-pipa de 10.000 litros (10m³) que abasteça uma localidade distante 20 km de um manancial e que tenha feito 30 viagens no mês, terá realizado um Momento de Transporte de: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ind w:left="3119" w:hanging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>M = 10m³ x 20 Km x 30 viagens x I</w:t>
      </w:r>
    </w:p>
    <w:p>
      <w:pPr>
        <w:pStyle w:val="Normal"/>
        <w:spacing w:lineRule="auto" w:line="360" w:before="0" w:after="0"/>
        <w:ind w:left="3119" w:hanging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>M = 6.000 x I</w:t>
      </w:r>
    </w:p>
    <w:p>
      <w:pPr>
        <w:pStyle w:val="Normal"/>
        <w:spacing w:lineRule="auto" w:line="360" w:before="0" w:after="0"/>
        <w:ind w:left="3119" w:hanging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51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ab/>
        <w:t xml:space="preserve">4.4. </w:t>
      </w:r>
      <w:r>
        <w:rPr>
          <w:rFonts w:cs="Arial" w:ascii="Arial" w:hAnsi="Arial"/>
          <w:color w:val="000000"/>
          <w:sz w:val="24"/>
          <w:szCs w:val="24"/>
        </w:rPr>
        <w:t xml:space="preserve">Considerando que o tipo de rodovia existente seja de estrada 100% sem asfalto (chão), o que corresponde ao Índice Multiplicador de 0,65, o valor devido pelos serviços prestados seria: </w:t>
      </w:r>
    </w:p>
    <w:p>
      <w:pPr>
        <w:pStyle w:val="Normal"/>
        <w:spacing w:lineRule="auto" w:line="360" w:before="0" w:after="0"/>
        <w:ind w:left="3119" w:hanging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V = 6.000 x </w:t>
      </w:r>
      <w:r>
        <w:rPr>
          <w:rFonts w:cs="Arial" w:ascii="Arial" w:hAnsi="Arial"/>
          <w:bCs/>
          <w:sz w:val="24"/>
          <w:szCs w:val="24"/>
        </w:rPr>
        <w:t>R$0,65</w:t>
      </w:r>
    </w:p>
    <w:p>
      <w:pPr>
        <w:pStyle w:val="Normal"/>
        <w:spacing w:lineRule="auto" w:line="360" w:before="0" w:after="0"/>
        <w:ind w:left="3119" w:hanging="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>V = R$3.900,00.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  <w:t>Paulo Afonso-BA</w:t>
      </w:r>
      <w:r>
        <w:rPr>
          <w:rFonts w:cs="Arial" w:ascii="Arial" w:hAnsi="Arial"/>
          <w:b/>
          <w:color w:val="000000"/>
          <w:sz w:val="24"/>
          <w:szCs w:val="24"/>
        </w:rPr>
        <w:t>, ___ de _________________de _____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_____________________________________</w:t>
      </w:r>
    </w:p>
    <w:p>
      <w:pPr>
        <w:pStyle w:val="Normal"/>
        <w:tabs>
          <w:tab w:val="left" w:pos="7110" w:leader="none"/>
        </w:tabs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Assinatura, Nome e Função </w:t>
      </w:r>
    </w:p>
    <w:p>
      <w:pPr>
        <w:pStyle w:val="Normal"/>
        <w:tabs>
          <w:tab w:val="left" w:pos="7110" w:leader="none"/>
        </w:tabs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tabs>
          <w:tab w:val="left" w:pos="7110" w:leader="none"/>
        </w:tabs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tabs>
          <w:tab w:val="left" w:pos="7110" w:leader="none"/>
        </w:tabs>
        <w:spacing w:before="0" w:after="200"/>
        <w:ind w:left="2835" w:hanging="0"/>
        <w:rPr>
          <w:rFonts w:ascii="Arial" w:hAnsi="Arial" w:cs="Arial"/>
          <w:b/>
          <w:b/>
          <w:i/>
          <w:i/>
          <w:sz w:val="24"/>
          <w:szCs w:val="24"/>
        </w:rPr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sz w:val="24"/>
        <w:b/>
        <w:rFonts w:ascii="Arial" w:hAnsi="Arial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571" w:hanging="720"/>
      </w:pPr>
      <w:rPr>
        <w:sz w:val="24"/>
        <w:b/>
        <w:rFonts w:ascii="Arial" w:hAnsi="Arial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72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308" w:hanging="108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744" w:hanging="144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8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25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2692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2768" w:hanging="21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8430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00000A"/>
      <w:sz w:val="22"/>
      <w:szCs w:val="22"/>
      <w:lang w:val="pt-BR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textoChar" w:customStyle="1">
    <w:name w:val="Corpo de texto Char"/>
    <w:basedOn w:val="DefaultParagraphFont"/>
    <w:link w:val="Corpodetexto"/>
    <w:qFormat/>
    <w:rsid w:val="0048430a"/>
    <w:rPr>
      <w:rFonts w:ascii="Calibri" w:hAnsi="Calibri" w:eastAsia="Times New Roman" w:cs="Calibri"/>
      <w:lang w:eastAsia="zh-CN"/>
    </w:rPr>
  </w:style>
  <w:style w:type="character" w:styleId="ListLabel1">
    <w:name w:val="ListLabel 1"/>
    <w:qFormat/>
    <w:rPr>
      <w:rFonts w:ascii="Arial" w:hAnsi="Arial"/>
      <w:b/>
      <w:sz w:val="24"/>
    </w:rPr>
  </w:style>
  <w:style w:type="character" w:styleId="ListLabel2">
    <w:name w:val="ListLabel 2"/>
    <w:qFormat/>
    <w:rPr>
      <w:rFonts w:ascii="Arial" w:hAnsi="Arial"/>
      <w:b/>
      <w:color w:val="00000A"/>
      <w:sz w:val="24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Corpo de texto"/>
    <w:basedOn w:val="Normal"/>
    <w:link w:val="CorpodetextoChar"/>
    <w:rsid w:val="0048430a"/>
    <w:pPr>
      <w:spacing w:before="0" w:after="120"/>
    </w:pPr>
    <w:rPr/>
  </w:style>
  <w:style w:type="paragraph" w:styleId="Lista">
    <w:name w:val="Lista"/>
    <w:basedOn w:val="Corpodetexto"/>
    <w:pPr/>
    <w:rPr>
      <w:rFonts w:cs="Mangal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f11778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LibreOffice/5.0.5.2$Windows_X86_64 LibreOffice_project/55b006a02d247b5f7215fc6ea0fde844b30035b3</Application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2020-08-28T17:23:00Z</dcterms:created>
  <dc:creator>Adriano Porfírio</dc:creator>
  <dc:language>pt-BR</dc:language>
  <dcterms:modified xsi:type="dcterms:W3CDTF">2020-12-08T16:18:50Z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